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F928" w14:textId="16BDA747" w:rsidR="00897887" w:rsidRDefault="00897887" w:rsidP="00897887">
      <w:pPr>
        <w:rPr>
          <w:b/>
          <w:bCs/>
        </w:rPr>
      </w:pPr>
      <w:r>
        <w:rPr>
          <w:noProof/>
        </w:rPr>
        <w:drawing>
          <wp:inline distT="0" distB="0" distL="0" distR="0" wp14:anchorId="1056F188" wp14:editId="12A41C7A">
            <wp:extent cx="3003062" cy="552450"/>
            <wp:effectExtent l="0" t="0" r="6985" b="0"/>
            <wp:docPr id="7" name="Image 7" descr="Une image contenant Police, text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texte, Graphique, capture d’écran&#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983" cy="555563"/>
                    </a:xfrm>
                    <a:prstGeom prst="rect">
                      <a:avLst/>
                    </a:prstGeom>
                    <a:noFill/>
                    <a:ln>
                      <a:noFill/>
                    </a:ln>
                  </pic:spPr>
                </pic:pic>
              </a:graphicData>
            </a:graphic>
          </wp:inline>
        </w:drawing>
      </w:r>
      <w:r w:rsidRPr="00C228F5">
        <w:rPr>
          <w:rFonts w:asciiTheme="minorBidi" w:hAnsiTheme="minorBidi"/>
          <w:b/>
          <w:bCs/>
          <w:sz w:val="32"/>
          <w:szCs w:val="32"/>
        </w:rPr>
        <w:t xml:space="preserve"> </w:t>
      </w:r>
    </w:p>
    <w:p w14:paraId="1C56D24F" w14:textId="77777777" w:rsidR="00897887" w:rsidRDefault="00897887" w:rsidP="00897887">
      <w:pPr>
        <w:rPr>
          <w:b/>
          <w:bCs/>
        </w:rPr>
      </w:pPr>
    </w:p>
    <w:p w14:paraId="308EC998" w14:textId="74BD46EC" w:rsidR="00897887" w:rsidRPr="00897887" w:rsidRDefault="00897887" w:rsidP="00710DAA">
      <w:pPr>
        <w:ind w:left="3540" w:firstLine="708"/>
        <w:rPr>
          <w:b/>
          <w:bCs/>
          <w:sz w:val="40"/>
          <w:szCs w:val="40"/>
        </w:rPr>
      </w:pPr>
      <w:r w:rsidRPr="00897887">
        <w:rPr>
          <w:b/>
          <w:bCs/>
          <w:sz w:val="40"/>
          <w:szCs w:val="40"/>
        </w:rPr>
        <w:t>Communiqué de presse</w:t>
      </w:r>
    </w:p>
    <w:p w14:paraId="321BD291" w14:textId="70D89CEA" w:rsidR="00897887" w:rsidRDefault="00897887" w:rsidP="00897887">
      <w:pPr>
        <w:spacing w:after="0"/>
        <w:jc w:val="center"/>
        <w:rPr>
          <w:rFonts w:asciiTheme="minorBidi" w:hAnsiTheme="minorBidi"/>
          <w:b/>
          <w:bCs/>
          <w:sz w:val="32"/>
          <w:szCs w:val="32"/>
        </w:rPr>
      </w:pPr>
    </w:p>
    <w:p w14:paraId="7069C0EA" w14:textId="77777777" w:rsidR="00897887" w:rsidRPr="00897887" w:rsidRDefault="00897887" w:rsidP="00897887">
      <w:pPr>
        <w:spacing w:after="0"/>
        <w:jc w:val="center"/>
        <w:rPr>
          <w:rFonts w:asciiTheme="majorHAnsi" w:hAnsiTheme="majorHAnsi" w:cstheme="majorHAnsi"/>
          <w:sz w:val="24"/>
          <w:szCs w:val="24"/>
        </w:rPr>
      </w:pPr>
      <w:r w:rsidRPr="00897887">
        <w:rPr>
          <w:rFonts w:asciiTheme="majorHAnsi" w:hAnsiTheme="majorHAnsi" w:cstheme="majorHAnsi"/>
          <w:sz w:val="24"/>
          <w:szCs w:val="24"/>
        </w:rPr>
        <w:t>Société anonyme au capital de 3.000.000,00 Dirhams</w:t>
      </w:r>
    </w:p>
    <w:p w14:paraId="241AD2B6" w14:textId="27CE3D5E" w:rsidR="00897887" w:rsidRDefault="00897887" w:rsidP="00897887">
      <w:pPr>
        <w:spacing w:after="0"/>
        <w:jc w:val="center"/>
        <w:rPr>
          <w:rFonts w:asciiTheme="majorHAnsi" w:hAnsiTheme="majorHAnsi" w:cstheme="majorHAnsi"/>
          <w:sz w:val="24"/>
          <w:szCs w:val="24"/>
        </w:rPr>
      </w:pPr>
      <w:r w:rsidRPr="00897887">
        <w:rPr>
          <w:rFonts w:asciiTheme="majorHAnsi" w:hAnsiTheme="majorHAnsi" w:cstheme="majorHAnsi"/>
          <w:sz w:val="24"/>
          <w:szCs w:val="24"/>
        </w:rPr>
        <w:t xml:space="preserve">Siège </w:t>
      </w:r>
      <w:proofErr w:type="gramStart"/>
      <w:r w:rsidRPr="00897887">
        <w:rPr>
          <w:rFonts w:asciiTheme="majorHAnsi" w:hAnsiTheme="majorHAnsi" w:cstheme="majorHAnsi"/>
          <w:sz w:val="24"/>
          <w:szCs w:val="24"/>
        </w:rPr>
        <w:t>social:</w:t>
      </w:r>
      <w:proofErr w:type="gramEnd"/>
      <w:r w:rsidRPr="00897887">
        <w:rPr>
          <w:rFonts w:asciiTheme="majorHAnsi" w:hAnsiTheme="majorHAnsi" w:cstheme="majorHAnsi"/>
          <w:sz w:val="24"/>
          <w:szCs w:val="24"/>
        </w:rPr>
        <w:t xml:space="preserve"> Casablanca- </w:t>
      </w:r>
      <w:proofErr w:type="spellStart"/>
      <w:r w:rsidRPr="00897887">
        <w:rPr>
          <w:rFonts w:asciiTheme="majorHAnsi" w:hAnsiTheme="majorHAnsi" w:cstheme="majorHAnsi"/>
          <w:sz w:val="24"/>
          <w:szCs w:val="24"/>
        </w:rPr>
        <w:t>Imm</w:t>
      </w:r>
      <w:proofErr w:type="spellEnd"/>
      <w:r w:rsidRPr="00897887">
        <w:rPr>
          <w:rFonts w:asciiTheme="majorHAnsi" w:hAnsiTheme="majorHAnsi" w:cstheme="majorHAnsi"/>
          <w:sz w:val="24"/>
          <w:szCs w:val="24"/>
        </w:rPr>
        <w:t xml:space="preserve"> A1, résidence Ryad Anfa –</w:t>
      </w:r>
      <w:r>
        <w:rPr>
          <w:rFonts w:asciiTheme="majorHAnsi" w:hAnsiTheme="majorHAnsi" w:cstheme="majorHAnsi"/>
          <w:sz w:val="24"/>
          <w:szCs w:val="24"/>
        </w:rPr>
        <w:t xml:space="preserve"> </w:t>
      </w:r>
      <w:r w:rsidRPr="00897887">
        <w:rPr>
          <w:rFonts w:asciiTheme="majorHAnsi" w:hAnsiTheme="majorHAnsi" w:cstheme="majorHAnsi"/>
          <w:sz w:val="24"/>
          <w:szCs w:val="24"/>
        </w:rPr>
        <w:t xml:space="preserve">Boulevard Omar El </w:t>
      </w:r>
      <w:proofErr w:type="spellStart"/>
      <w:r w:rsidRPr="00897887">
        <w:rPr>
          <w:rFonts w:asciiTheme="majorHAnsi" w:hAnsiTheme="majorHAnsi" w:cstheme="majorHAnsi"/>
          <w:sz w:val="24"/>
          <w:szCs w:val="24"/>
        </w:rPr>
        <w:t>Khiyam</w:t>
      </w:r>
      <w:proofErr w:type="spellEnd"/>
      <w:r w:rsidRPr="00897887">
        <w:rPr>
          <w:rFonts w:asciiTheme="majorHAnsi" w:hAnsiTheme="majorHAnsi" w:cstheme="majorHAnsi"/>
          <w:sz w:val="24"/>
          <w:szCs w:val="24"/>
        </w:rPr>
        <w:t xml:space="preserve"> -  4éme étage – Bureau n°42</w:t>
      </w:r>
      <w:r w:rsidR="00A44847">
        <w:rPr>
          <w:rFonts w:asciiTheme="majorHAnsi" w:hAnsiTheme="majorHAnsi" w:cstheme="majorHAnsi"/>
          <w:sz w:val="24"/>
          <w:szCs w:val="24"/>
        </w:rPr>
        <w:t xml:space="preserve">, CFC </w:t>
      </w:r>
    </w:p>
    <w:p w14:paraId="6FEFEBDA" w14:textId="77777777" w:rsidR="00897887" w:rsidRPr="00897887" w:rsidRDefault="00897887" w:rsidP="00897887">
      <w:pPr>
        <w:spacing w:after="0"/>
        <w:jc w:val="center"/>
        <w:rPr>
          <w:rFonts w:asciiTheme="majorHAnsi" w:hAnsiTheme="majorHAnsi" w:cstheme="majorHAnsi"/>
          <w:b/>
          <w:bCs/>
          <w:sz w:val="24"/>
          <w:szCs w:val="24"/>
        </w:rPr>
      </w:pPr>
    </w:p>
    <w:p w14:paraId="1813DDE9" w14:textId="52CA7CCC" w:rsidR="00897887" w:rsidRPr="00897887" w:rsidRDefault="00897887" w:rsidP="00897887">
      <w:pPr>
        <w:spacing w:after="0"/>
        <w:jc w:val="center"/>
        <w:rPr>
          <w:rFonts w:asciiTheme="majorHAnsi" w:hAnsiTheme="majorHAnsi" w:cstheme="majorHAnsi"/>
          <w:b/>
          <w:bCs/>
          <w:sz w:val="24"/>
          <w:szCs w:val="24"/>
        </w:rPr>
      </w:pPr>
      <w:r w:rsidRPr="00897887">
        <w:rPr>
          <w:rFonts w:asciiTheme="majorHAnsi" w:hAnsiTheme="majorHAnsi" w:cstheme="majorHAnsi"/>
          <w:b/>
          <w:bCs/>
          <w:sz w:val="24"/>
          <w:szCs w:val="24"/>
          <w:u w:val="single"/>
        </w:rPr>
        <w:t>RC : 442659</w:t>
      </w:r>
      <w:r w:rsidRPr="00897887">
        <w:rPr>
          <w:rFonts w:asciiTheme="majorHAnsi" w:hAnsiTheme="majorHAnsi" w:cstheme="majorHAnsi"/>
          <w:b/>
          <w:bCs/>
          <w:sz w:val="24"/>
          <w:szCs w:val="24"/>
        </w:rPr>
        <w:t xml:space="preserve">                                </w:t>
      </w:r>
      <w:r w:rsidRPr="00897887">
        <w:rPr>
          <w:rFonts w:asciiTheme="majorHAnsi" w:hAnsiTheme="majorHAnsi" w:cstheme="majorHAnsi"/>
          <w:b/>
          <w:bCs/>
          <w:sz w:val="24"/>
          <w:szCs w:val="24"/>
          <w:u w:val="single"/>
        </w:rPr>
        <w:t>IF : 37659698</w:t>
      </w:r>
      <w:r w:rsidRPr="00897887">
        <w:rPr>
          <w:rFonts w:asciiTheme="majorHAnsi" w:hAnsiTheme="majorHAnsi" w:cstheme="majorHAnsi"/>
          <w:b/>
          <w:bCs/>
          <w:sz w:val="24"/>
          <w:szCs w:val="24"/>
        </w:rPr>
        <w:t xml:space="preserve">                            </w:t>
      </w:r>
      <w:r w:rsidRPr="00897887">
        <w:rPr>
          <w:rFonts w:asciiTheme="majorHAnsi" w:hAnsiTheme="majorHAnsi" w:cstheme="majorHAnsi"/>
          <w:b/>
          <w:bCs/>
          <w:sz w:val="24"/>
          <w:szCs w:val="24"/>
          <w:u w:val="single"/>
        </w:rPr>
        <w:t>ICE : 002313360000005</w:t>
      </w:r>
    </w:p>
    <w:p w14:paraId="7A3CA8AC" w14:textId="77777777" w:rsidR="00897887" w:rsidRPr="00897887" w:rsidRDefault="00897887" w:rsidP="00897887">
      <w:pPr>
        <w:spacing w:after="0"/>
        <w:jc w:val="center"/>
        <w:rPr>
          <w:rFonts w:asciiTheme="majorHAnsi" w:hAnsiTheme="majorHAnsi" w:cstheme="majorHAnsi"/>
          <w:sz w:val="24"/>
          <w:szCs w:val="24"/>
        </w:rPr>
      </w:pPr>
    </w:p>
    <w:p w14:paraId="2F5355FA" w14:textId="5E58DB41" w:rsidR="00897887" w:rsidRDefault="00897887">
      <w:pPr>
        <w:rPr>
          <w:b/>
          <w:bCs/>
        </w:rPr>
      </w:pPr>
      <w:r>
        <w:rPr>
          <w:b/>
          <w:bCs/>
        </w:rPr>
        <w:t>MISE A JOUR DE LA NOTE D’INFORMATION ET DE LA FICHE SIGNALETIQUE DU FCP « TWIN BOND TRESOR »</w:t>
      </w:r>
    </w:p>
    <w:p w14:paraId="7C67A208" w14:textId="307068B0" w:rsidR="00C81627" w:rsidRDefault="00897887" w:rsidP="00C81627">
      <w:pPr>
        <w:jc w:val="both"/>
      </w:pPr>
      <w:r>
        <w:t xml:space="preserve">La société </w:t>
      </w:r>
      <w:r w:rsidRPr="00897887">
        <w:rPr>
          <w:b/>
          <w:bCs/>
        </w:rPr>
        <w:t>TWIN CAPITAL Gestion</w:t>
      </w:r>
      <w:r>
        <w:t xml:space="preserve"> porte à la connaissance du public que la note d’information et la fiche signalétique du FCP « </w:t>
      </w:r>
      <w:r w:rsidRPr="00897887">
        <w:rPr>
          <w:b/>
          <w:bCs/>
        </w:rPr>
        <w:t>TWIN BOND TRESOR</w:t>
      </w:r>
      <w:r>
        <w:t xml:space="preserve"> » ont été mises </w:t>
      </w:r>
      <w:r w:rsidR="00A44847">
        <w:t>à jour</w:t>
      </w:r>
      <w:r>
        <w:t xml:space="preserve"> en date du :   </w:t>
      </w:r>
      <w:r w:rsidR="008F0FAA" w:rsidRPr="008F0FAA">
        <w:rPr>
          <w:b/>
          <w:bCs/>
        </w:rPr>
        <w:t>0</w:t>
      </w:r>
      <w:r w:rsidR="00C96483">
        <w:rPr>
          <w:b/>
          <w:bCs/>
        </w:rPr>
        <w:t>5</w:t>
      </w:r>
      <w:r w:rsidR="008F0FAA" w:rsidRPr="008F0FAA">
        <w:rPr>
          <w:b/>
          <w:bCs/>
        </w:rPr>
        <w:t>/</w:t>
      </w:r>
      <w:r w:rsidR="00C96483">
        <w:rPr>
          <w:b/>
          <w:bCs/>
        </w:rPr>
        <w:t>02</w:t>
      </w:r>
      <w:r w:rsidR="008F0FAA" w:rsidRPr="008F0FAA">
        <w:rPr>
          <w:b/>
          <w:bCs/>
        </w:rPr>
        <w:t>/202</w:t>
      </w:r>
      <w:r w:rsidR="00C96483">
        <w:rPr>
          <w:b/>
          <w:bCs/>
        </w:rPr>
        <w:t>5</w:t>
      </w:r>
      <w:r w:rsidRPr="008F0FAA">
        <w:t xml:space="preserve">   </w:t>
      </w:r>
      <w:r>
        <w:t xml:space="preserve">sous la référence </w:t>
      </w:r>
      <w:r w:rsidR="00474444" w:rsidRPr="008F0FAA">
        <w:rPr>
          <w:b/>
          <w:bCs/>
        </w:rPr>
        <w:t>:</w:t>
      </w:r>
      <w:r w:rsidR="007B7EF5" w:rsidRPr="008F0FAA">
        <w:rPr>
          <w:b/>
          <w:bCs/>
        </w:rPr>
        <w:t xml:space="preserve">   </w:t>
      </w:r>
      <w:r w:rsidR="008F0FAA" w:rsidRPr="008F0FAA">
        <w:rPr>
          <w:b/>
          <w:bCs/>
        </w:rPr>
        <w:t>VP 2</w:t>
      </w:r>
      <w:r w:rsidR="00C96483">
        <w:rPr>
          <w:b/>
          <w:bCs/>
        </w:rPr>
        <w:t>5018</w:t>
      </w:r>
      <w:r w:rsidR="007B7EF5" w:rsidRPr="008F0FAA">
        <w:t xml:space="preserve">   </w:t>
      </w:r>
      <w:r w:rsidR="007B7EF5">
        <w:t>comme suit</w:t>
      </w:r>
      <w:r w:rsidR="007F39F7">
        <w:t> :</w:t>
      </w:r>
    </w:p>
    <w:p w14:paraId="4149B48F" w14:textId="77777777" w:rsidR="007F39F7" w:rsidRDefault="007F39F7" w:rsidP="00C81627">
      <w:pPr>
        <w:jc w:val="both"/>
      </w:pPr>
    </w:p>
    <w:tbl>
      <w:tblPr>
        <w:tblStyle w:val="Grilledutableau"/>
        <w:tblW w:w="14034" w:type="dxa"/>
        <w:tblLook w:val="04A0" w:firstRow="1" w:lastRow="0" w:firstColumn="1" w:lastColumn="0" w:noHBand="0" w:noVBand="1"/>
      </w:tblPr>
      <w:tblGrid>
        <w:gridCol w:w="1894"/>
        <w:gridCol w:w="5707"/>
        <w:gridCol w:w="6433"/>
      </w:tblGrid>
      <w:tr w:rsidR="007B7EF5" w14:paraId="5C63A9DA" w14:textId="77777777" w:rsidTr="007F39F7">
        <w:tc>
          <w:tcPr>
            <w:tcW w:w="1894" w:type="dxa"/>
            <w:tcBorders>
              <w:top w:val="single" w:sz="4" w:space="0" w:color="auto"/>
              <w:left w:val="single" w:sz="4" w:space="0" w:color="auto"/>
            </w:tcBorders>
          </w:tcPr>
          <w:p w14:paraId="3DF93275" w14:textId="74EDED30" w:rsidR="007B7EF5" w:rsidRDefault="007B7EF5" w:rsidP="005F47C6">
            <w:pPr>
              <w:jc w:val="both"/>
            </w:pPr>
            <w:r>
              <w:t>Dispositions</w:t>
            </w:r>
          </w:p>
        </w:tc>
        <w:tc>
          <w:tcPr>
            <w:tcW w:w="5707" w:type="dxa"/>
          </w:tcPr>
          <w:p w14:paraId="1C1174E5" w14:textId="36108204" w:rsidR="007B7EF5" w:rsidRDefault="007B7EF5" w:rsidP="005F47C6">
            <w:pPr>
              <w:jc w:val="both"/>
            </w:pPr>
            <w:r>
              <w:t>Anciennes dispositions</w:t>
            </w:r>
          </w:p>
        </w:tc>
        <w:tc>
          <w:tcPr>
            <w:tcW w:w="6433" w:type="dxa"/>
          </w:tcPr>
          <w:p w14:paraId="64BE261E" w14:textId="6BA5D407" w:rsidR="007B7EF5" w:rsidRDefault="007B7EF5" w:rsidP="005F47C6">
            <w:pPr>
              <w:jc w:val="both"/>
            </w:pPr>
            <w:r>
              <w:t>Nouvelles Dispositions</w:t>
            </w:r>
          </w:p>
        </w:tc>
      </w:tr>
      <w:tr w:rsidR="00C96483" w14:paraId="297A6E6D" w14:textId="77777777" w:rsidTr="007F39F7">
        <w:tc>
          <w:tcPr>
            <w:tcW w:w="1894" w:type="dxa"/>
          </w:tcPr>
          <w:p w14:paraId="56A075A2" w14:textId="024CB996" w:rsidR="00C96483" w:rsidRPr="00C27A62" w:rsidRDefault="00C96483" w:rsidP="00C96483">
            <w:pPr>
              <w:jc w:val="both"/>
            </w:pPr>
            <w:r w:rsidRPr="00C27A62">
              <w:rPr>
                <w:rFonts w:ascii="Book Antiqua" w:hAnsi="Book Antiqua"/>
              </w:rPr>
              <w:t>Stratégie d'investissement </w:t>
            </w:r>
            <w:r w:rsidRPr="00C27A62">
              <w:t xml:space="preserve"> </w:t>
            </w:r>
          </w:p>
        </w:tc>
        <w:tc>
          <w:tcPr>
            <w:tcW w:w="5707" w:type="dxa"/>
          </w:tcPr>
          <w:p w14:paraId="46AC69AA" w14:textId="77777777" w:rsidR="00C96483" w:rsidRDefault="00C96483" w:rsidP="00C96483">
            <w:r w:rsidRPr="00C744A9">
              <w:t>Le FCP sera investi en permanence à hauteur de 90% de son actif, hors titres d’OPCVM « Obligations moyen et long terme », créances représentatives des opérations de pension qu’il effectue en tant que cessionnaire et liquidités, en titres de créances émis ou garantis par l’Etat, tout en respectant la réglementation en vigueur.</w:t>
            </w:r>
            <w:r w:rsidRPr="00C744A9">
              <w:br/>
            </w:r>
            <w:r w:rsidRPr="00C744A9">
              <w:br/>
              <w:t>Par ailleurs, le fonds pourra consacrer au maximum 10% de son actif net à des opérations de placement en devises à l’étranger, dans les limites, règles et conditions de la réglementation en vigueur.</w:t>
            </w:r>
            <w:r w:rsidRPr="00C744A9">
              <w:br/>
            </w:r>
            <w:r w:rsidRPr="00C744A9">
              <w:lastRenderedPageBreak/>
              <w:br/>
              <w:t>L’univers d’investissement du fonds contiendra les éléments suivants :</w:t>
            </w:r>
            <w:r w:rsidRPr="00C744A9">
              <w:br/>
            </w:r>
            <w:r w:rsidRPr="00C744A9">
              <w:br/>
              <w:t>• Titres émis ou garantis par l’Etat ;</w:t>
            </w:r>
            <w:r w:rsidRPr="00C744A9">
              <w:br/>
              <w:t>• Obligations ;</w:t>
            </w:r>
            <w:r w:rsidRPr="00C744A9">
              <w:br/>
              <w:t>• Titres de créances négociables ;</w:t>
            </w:r>
            <w:r w:rsidRPr="00C744A9">
              <w:br/>
              <w:t>• Titres d'organismes de placements collectifs en valeurs mobilières (OPCVM);</w:t>
            </w:r>
            <w:r w:rsidRPr="00C744A9">
              <w:br/>
              <w:t>• Titres d’organismes de placement collectif en capital (OPCC);</w:t>
            </w:r>
            <w:r w:rsidRPr="00C744A9">
              <w:br/>
              <w:t>• Titres de fonds de placement collectifs en titrisation (FPCT);</w:t>
            </w:r>
            <w:r w:rsidRPr="00C744A9">
              <w:br/>
              <w:t>• Dépôts à terme ;</w:t>
            </w:r>
            <w:r w:rsidRPr="00C744A9">
              <w:br/>
            </w:r>
            <w:r w:rsidRPr="00C744A9">
              <w:br/>
              <w:t xml:space="preserve">Aussi, le fonds pourra réaliser des opérations de prise et de mise en pension et des opérations de prêt/emprunt de titres selon les règles et conditions de la réglementation en vigueur. </w:t>
            </w:r>
          </w:p>
          <w:p w14:paraId="5F5E7E5D" w14:textId="77777777" w:rsidR="00C96483" w:rsidRDefault="00C96483" w:rsidP="00C96483"/>
          <w:p w14:paraId="4722AD4C" w14:textId="77777777" w:rsidR="00C96483" w:rsidRDefault="00C96483" w:rsidP="00C96483"/>
          <w:p w14:paraId="185F0B96" w14:textId="77777777" w:rsidR="00C96483" w:rsidRDefault="00C96483" w:rsidP="00C96483">
            <w:pPr>
              <w:jc w:val="both"/>
            </w:pPr>
          </w:p>
          <w:p w14:paraId="114C3E34" w14:textId="77777777" w:rsidR="00C96483" w:rsidRDefault="00C96483" w:rsidP="00C96483">
            <w:pPr>
              <w:jc w:val="both"/>
            </w:pPr>
          </w:p>
          <w:p w14:paraId="34FB1A06" w14:textId="77777777" w:rsidR="00C96483" w:rsidRDefault="00C96483" w:rsidP="00C96483">
            <w:pPr>
              <w:jc w:val="both"/>
            </w:pPr>
          </w:p>
          <w:p w14:paraId="409E2B04" w14:textId="5CC9D991" w:rsidR="00C96483" w:rsidRDefault="00C96483" w:rsidP="00C96483">
            <w:pPr>
              <w:jc w:val="both"/>
            </w:pPr>
          </w:p>
        </w:tc>
        <w:tc>
          <w:tcPr>
            <w:tcW w:w="6433" w:type="dxa"/>
          </w:tcPr>
          <w:p w14:paraId="56C3EB14" w14:textId="77777777" w:rsidR="00C96483" w:rsidRDefault="00C96483" w:rsidP="00C96483">
            <w:r w:rsidRPr="00C744A9">
              <w:lastRenderedPageBreak/>
              <w:t>Le FCP sera investi en permanence à hauteur de 90% de son actif, hors titres d’OPCVM « Obligations moyen et long terme », créances représentatives des opérations de pension qu’il effectue en tant que cessionnaire et liquidités, en titres de créances émis ou garantis par l’Etat, tout en respectant la réglementation en vigueur.</w:t>
            </w:r>
            <w:r w:rsidRPr="00C744A9">
              <w:br/>
            </w:r>
            <w:r w:rsidRPr="00C744A9">
              <w:br/>
              <w:t>Par ailleurs, le fonds pourra consacrer au maximum 10% de son actif net à des opérations de placement en devises à l’étranger, dans les limites, règles et conditions de la réglementation en vigueur.</w:t>
            </w:r>
            <w:r w:rsidRPr="00C744A9">
              <w:br/>
            </w:r>
            <w:r w:rsidRPr="00C744A9">
              <w:br/>
              <w:t xml:space="preserve">L’univers d’investissement du fonds contiendra les éléments suivants </w:t>
            </w:r>
            <w:r w:rsidRPr="00C744A9">
              <w:lastRenderedPageBreak/>
              <w:t>:</w:t>
            </w:r>
            <w:r w:rsidRPr="00C744A9">
              <w:br/>
            </w:r>
            <w:r w:rsidRPr="00C744A9">
              <w:br/>
              <w:t>• Titres émis ou garantis par l’Etat ;</w:t>
            </w:r>
            <w:r w:rsidRPr="00C744A9">
              <w:br/>
              <w:t>• Obligations ;</w:t>
            </w:r>
            <w:r w:rsidRPr="00C744A9">
              <w:br/>
              <w:t>• Titres de créances négociables ;</w:t>
            </w:r>
            <w:r w:rsidRPr="00C744A9">
              <w:br/>
              <w:t>• Titres d'organismes de placements collectifs en valeurs mobilières (OPCVM);</w:t>
            </w:r>
            <w:r w:rsidRPr="00C744A9">
              <w:br/>
              <w:t>• Titres d’organismes de placement collectif en capital (OPCC);</w:t>
            </w:r>
            <w:r w:rsidRPr="00C744A9">
              <w:br/>
              <w:t>• Titres de fonds de placement collectifs en titrisation (FPCT);</w:t>
            </w:r>
          </w:p>
          <w:p w14:paraId="19BBA779" w14:textId="718EE996" w:rsidR="00C96483" w:rsidRDefault="00C96483" w:rsidP="00C96483">
            <w:r w:rsidRPr="00C744A9">
              <w:t xml:space="preserve">• </w:t>
            </w:r>
            <w:r w:rsidR="001837F7" w:rsidRPr="001837F7">
              <w:t xml:space="preserve">Actions, certificats d’investissement, droit d’attribution ou de souscription cotés à la bourse de Casablanca ou sur tout autre marché réglementé en fonctionnement régulier et ouvert au </w:t>
            </w:r>
            <w:r w:rsidR="00621935" w:rsidRPr="001837F7">
              <w:t>public</w:t>
            </w:r>
            <w:r w:rsidR="00621935">
              <w:t xml:space="preserve"> ;</w:t>
            </w:r>
            <w:r w:rsidRPr="00C744A9">
              <w:br/>
              <w:t>• Dépôts à terme ;</w:t>
            </w:r>
            <w:r w:rsidRPr="00C744A9">
              <w:br/>
            </w:r>
            <w:r w:rsidRPr="00C744A9">
              <w:br/>
              <w:t xml:space="preserve">Aussi, le fonds pourra réaliser des opérations de prise et de mise en pension et des opérations de prêt/emprunt de titres selon les règles et conditions de la réglementation en vigueur. </w:t>
            </w:r>
          </w:p>
          <w:p w14:paraId="75A297D2" w14:textId="77777777" w:rsidR="00C96483" w:rsidRDefault="00C96483" w:rsidP="00C96483"/>
          <w:p w14:paraId="639AF0F2" w14:textId="47EE6136" w:rsidR="00C96483" w:rsidRDefault="00C96483" w:rsidP="00C96483">
            <w:r>
              <w:t xml:space="preserve"> Le fonds pourra également investir en autre </w:t>
            </w:r>
            <w:r w:rsidR="001837F7">
              <w:t>v</w:t>
            </w:r>
            <w:r>
              <w:t>aleurs à hauteur de 10% de l’actif et selon les règles et conditions de la réglementation en vigueur.</w:t>
            </w:r>
          </w:p>
          <w:p w14:paraId="73305CB7" w14:textId="77777777" w:rsidR="00C96483" w:rsidRDefault="00C96483" w:rsidP="00C96483"/>
          <w:p w14:paraId="405B3390" w14:textId="77777777" w:rsidR="00C96483" w:rsidRDefault="00C96483" w:rsidP="00C96483">
            <w:pPr>
              <w:jc w:val="both"/>
            </w:pPr>
          </w:p>
          <w:p w14:paraId="7AE5D973" w14:textId="77777777" w:rsidR="00C96483" w:rsidRDefault="00C96483" w:rsidP="00C96483">
            <w:pPr>
              <w:jc w:val="both"/>
            </w:pPr>
          </w:p>
          <w:p w14:paraId="09571674" w14:textId="77777777" w:rsidR="00C96483" w:rsidRDefault="00C96483" w:rsidP="00C96483">
            <w:pPr>
              <w:jc w:val="both"/>
            </w:pPr>
          </w:p>
          <w:p w14:paraId="035ACBAD" w14:textId="25A79367" w:rsidR="00C96483" w:rsidRDefault="00C96483" w:rsidP="00C96483">
            <w:pPr>
              <w:jc w:val="both"/>
            </w:pPr>
          </w:p>
        </w:tc>
      </w:tr>
    </w:tbl>
    <w:p w14:paraId="1560E4F3" w14:textId="77777777" w:rsidR="00D60D4D" w:rsidRDefault="00D60D4D" w:rsidP="00D60D4D"/>
    <w:p w14:paraId="43CB50BC" w14:textId="36A63B94" w:rsidR="00D60D4D" w:rsidRDefault="00D60D4D" w:rsidP="00D60D4D">
      <w:pPr>
        <w:rPr>
          <w:rFonts w:asciiTheme="majorHAnsi" w:hAnsiTheme="majorHAnsi" w:cstheme="majorHAnsi"/>
          <w:sz w:val="24"/>
          <w:szCs w:val="24"/>
        </w:rPr>
      </w:pPr>
      <w:r w:rsidRPr="00626391">
        <w:t xml:space="preserve">Conformément à la réglementation en vigueur, les porteurs de parts disposent de la possibilité de </w:t>
      </w:r>
      <w:r>
        <w:t xml:space="preserve">sortie </w:t>
      </w:r>
      <w:r w:rsidRPr="00626391">
        <w:t xml:space="preserve">sans frais dans un délai de trois mois à compter de </w:t>
      </w:r>
      <w:r>
        <w:t>la date de</w:t>
      </w:r>
      <w:r w:rsidRPr="00626391">
        <w:t xml:space="preserve"> publication </w:t>
      </w:r>
      <w:r>
        <w:t>du présent communiqué de presse.</w:t>
      </w:r>
    </w:p>
    <w:p w14:paraId="472C2AC7" w14:textId="19FC3AC7" w:rsidR="00BA434A" w:rsidRDefault="00BA434A" w:rsidP="00C81627">
      <w:pPr>
        <w:jc w:val="both"/>
      </w:pPr>
    </w:p>
    <w:p w14:paraId="32F37630" w14:textId="2FA3184C" w:rsidR="00C27A62" w:rsidRDefault="00C27A62" w:rsidP="00C27A62">
      <w:pPr>
        <w:rPr>
          <w:rFonts w:asciiTheme="majorHAnsi" w:hAnsiTheme="majorHAnsi" w:cstheme="majorHAnsi"/>
          <w:sz w:val="24"/>
          <w:szCs w:val="24"/>
        </w:rPr>
      </w:pPr>
      <w:r>
        <w:lastRenderedPageBreak/>
        <w:t>Le Règlement de gestion</w:t>
      </w:r>
      <w:r w:rsidR="00A44847">
        <w:t xml:space="preserve">, la Note d’information et la Fiche signalétique du FCP susmentionné sont mis à disposition, pour consultation au siège de TWIN CAPITAL Gestion, sis à </w:t>
      </w:r>
      <w:proofErr w:type="spellStart"/>
      <w:r w:rsidR="00A44847" w:rsidRPr="00897887">
        <w:rPr>
          <w:rFonts w:asciiTheme="majorHAnsi" w:hAnsiTheme="majorHAnsi" w:cstheme="majorHAnsi"/>
          <w:sz w:val="24"/>
          <w:szCs w:val="24"/>
        </w:rPr>
        <w:t>Imm</w:t>
      </w:r>
      <w:proofErr w:type="spellEnd"/>
      <w:r w:rsidR="00A44847" w:rsidRPr="00897887">
        <w:rPr>
          <w:rFonts w:asciiTheme="majorHAnsi" w:hAnsiTheme="majorHAnsi" w:cstheme="majorHAnsi"/>
          <w:sz w:val="24"/>
          <w:szCs w:val="24"/>
        </w:rPr>
        <w:t xml:space="preserve"> A1, résidence Ryad Anfa –</w:t>
      </w:r>
      <w:r w:rsidR="00A44847">
        <w:rPr>
          <w:rFonts w:asciiTheme="majorHAnsi" w:hAnsiTheme="majorHAnsi" w:cstheme="majorHAnsi"/>
          <w:sz w:val="24"/>
          <w:szCs w:val="24"/>
        </w:rPr>
        <w:t xml:space="preserve"> </w:t>
      </w:r>
      <w:r w:rsidR="00A44847" w:rsidRPr="00897887">
        <w:rPr>
          <w:rFonts w:asciiTheme="majorHAnsi" w:hAnsiTheme="majorHAnsi" w:cstheme="majorHAnsi"/>
          <w:sz w:val="24"/>
          <w:szCs w:val="24"/>
        </w:rPr>
        <w:t xml:space="preserve">Boulevard Omar El </w:t>
      </w:r>
      <w:proofErr w:type="spellStart"/>
      <w:r w:rsidR="00A44847" w:rsidRPr="00897887">
        <w:rPr>
          <w:rFonts w:asciiTheme="majorHAnsi" w:hAnsiTheme="majorHAnsi" w:cstheme="majorHAnsi"/>
          <w:sz w:val="24"/>
          <w:szCs w:val="24"/>
        </w:rPr>
        <w:t>Khiyam</w:t>
      </w:r>
      <w:proofErr w:type="spellEnd"/>
      <w:r w:rsidR="00A44847" w:rsidRPr="00897887">
        <w:rPr>
          <w:rFonts w:asciiTheme="majorHAnsi" w:hAnsiTheme="majorHAnsi" w:cstheme="majorHAnsi"/>
          <w:sz w:val="24"/>
          <w:szCs w:val="24"/>
        </w:rPr>
        <w:t xml:space="preserve"> </w:t>
      </w:r>
      <w:proofErr w:type="gramStart"/>
      <w:r w:rsidR="00A44847" w:rsidRPr="00897887">
        <w:rPr>
          <w:rFonts w:asciiTheme="majorHAnsi" w:hAnsiTheme="majorHAnsi" w:cstheme="majorHAnsi"/>
          <w:sz w:val="24"/>
          <w:szCs w:val="24"/>
        </w:rPr>
        <w:t>-  4</w:t>
      </w:r>
      <w:proofErr w:type="gramEnd"/>
      <w:r w:rsidR="00A44847" w:rsidRPr="00897887">
        <w:rPr>
          <w:rFonts w:asciiTheme="majorHAnsi" w:hAnsiTheme="majorHAnsi" w:cstheme="majorHAnsi"/>
          <w:sz w:val="24"/>
          <w:szCs w:val="24"/>
        </w:rPr>
        <w:t>éme étage – Bureau n°42</w:t>
      </w:r>
      <w:r w:rsidR="00A44847">
        <w:rPr>
          <w:rFonts w:asciiTheme="majorHAnsi" w:hAnsiTheme="majorHAnsi" w:cstheme="majorHAnsi"/>
          <w:sz w:val="24"/>
          <w:szCs w:val="24"/>
        </w:rPr>
        <w:t xml:space="preserve">, CFC, Casablanca ; Tél :                                  +212 5 </w:t>
      </w:r>
      <w:r w:rsidR="00C744A9" w:rsidRPr="00C744A9">
        <w:rPr>
          <w:rFonts w:asciiTheme="majorHAnsi" w:hAnsiTheme="majorHAnsi" w:cstheme="majorHAnsi"/>
          <w:sz w:val="24"/>
          <w:szCs w:val="24"/>
        </w:rPr>
        <w:t>20</w:t>
      </w:r>
      <w:r w:rsidR="00C744A9">
        <w:rPr>
          <w:rFonts w:asciiTheme="majorHAnsi" w:hAnsiTheme="majorHAnsi" w:cstheme="majorHAnsi"/>
          <w:sz w:val="24"/>
          <w:szCs w:val="24"/>
        </w:rPr>
        <w:t xml:space="preserve"> </w:t>
      </w:r>
      <w:r w:rsidR="00C744A9" w:rsidRPr="00C744A9">
        <w:rPr>
          <w:rFonts w:asciiTheme="majorHAnsi" w:hAnsiTheme="majorHAnsi" w:cstheme="majorHAnsi"/>
          <w:sz w:val="24"/>
          <w:szCs w:val="24"/>
        </w:rPr>
        <w:t>72</w:t>
      </w:r>
      <w:r w:rsidR="00C744A9">
        <w:rPr>
          <w:rFonts w:asciiTheme="majorHAnsi" w:hAnsiTheme="majorHAnsi" w:cstheme="majorHAnsi"/>
          <w:sz w:val="24"/>
          <w:szCs w:val="24"/>
        </w:rPr>
        <w:t xml:space="preserve"> </w:t>
      </w:r>
      <w:r w:rsidR="00C744A9" w:rsidRPr="00C744A9">
        <w:rPr>
          <w:rFonts w:asciiTheme="majorHAnsi" w:hAnsiTheme="majorHAnsi" w:cstheme="majorHAnsi"/>
          <w:sz w:val="24"/>
          <w:szCs w:val="24"/>
        </w:rPr>
        <w:t>72</w:t>
      </w:r>
      <w:r w:rsidR="00C744A9">
        <w:rPr>
          <w:rFonts w:asciiTheme="majorHAnsi" w:hAnsiTheme="majorHAnsi" w:cstheme="majorHAnsi"/>
          <w:sz w:val="24"/>
          <w:szCs w:val="24"/>
        </w:rPr>
        <w:t xml:space="preserve"> </w:t>
      </w:r>
      <w:r w:rsidR="00C744A9" w:rsidRPr="00C744A9">
        <w:rPr>
          <w:rFonts w:asciiTheme="majorHAnsi" w:hAnsiTheme="majorHAnsi" w:cstheme="majorHAnsi"/>
          <w:sz w:val="24"/>
          <w:szCs w:val="24"/>
        </w:rPr>
        <w:t>1</w:t>
      </w:r>
      <w:r w:rsidR="00C744A9">
        <w:rPr>
          <w:rFonts w:asciiTheme="majorHAnsi" w:hAnsiTheme="majorHAnsi" w:cstheme="majorHAnsi"/>
          <w:sz w:val="24"/>
          <w:szCs w:val="24"/>
        </w:rPr>
        <w:t>0</w:t>
      </w:r>
      <w:r w:rsidR="00A44847">
        <w:rPr>
          <w:rFonts w:asciiTheme="majorHAnsi" w:hAnsiTheme="majorHAnsi" w:cstheme="majorHAnsi"/>
          <w:sz w:val="24"/>
          <w:szCs w:val="24"/>
        </w:rPr>
        <w:t xml:space="preserve">               Fax : +212 5 2</w:t>
      </w:r>
      <w:r w:rsidR="00C744A9">
        <w:rPr>
          <w:rFonts w:asciiTheme="majorHAnsi" w:hAnsiTheme="majorHAnsi" w:cstheme="majorHAnsi"/>
          <w:sz w:val="24"/>
          <w:szCs w:val="24"/>
        </w:rPr>
        <w:t>0</w:t>
      </w:r>
      <w:r w:rsidR="00A44847">
        <w:rPr>
          <w:rFonts w:asciiTheme="majorHAnsi" w:hAnsiTheme="majorHAnsi" w:cstheme="majorHAnsi"/>
          <w:sz w:val="24"/>
          <w:szCs w:val="24"/>
        </w:rPr>
        <w:t xml:space="preserve"> </w:t>
      </w:r>
      <w:r w:rsidR="00C744A9">
        <w:rPr>
          <w:rFonts w:asciiTheme="majorHAnsi" w:hAnsiTheme="majorHAnsi" w:cstheme="majorHAnsi"/>
          <w:sz w:val="24"/>
          <w:szCs w:val="24"/>
        </w:rPr>
        <w:t>32 32 12</w:t>
      </w:r>
      <w:r w:rsidR="00A44847">
        <w:rPr>
          <w:rFonts w:asciiTheme="majorHAnsi" w:hAnsiTheme="majorHAnsi" w:cstheme="majorHAnsi"/>
          <w:sz w:val="24"/>
          <w:szCs w:val="24"/>
        </w:rPr>
        <w:t xml:space="preserve">  </w:t>
      </w:r>
    </w:p>
    <w:sectPr w:rsidR="00C27A62" w:rsidSect="00C744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319E"/>
    <w:multiLevelType w:val="hybridMultilevel"/>
    <w:tmpl w:val="577C9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877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0D"/>
    <w:rsid w:val="000F65FD"/>
    <w:rsid w:val="00121F35"/>
    <w:rsid w:val="001837F7"/>
    <w:rsid w:val="00220E21"/>
    <w:rsid w:val="00287936"/>
    <w:rsid w:val="002B4784"/>
    <w:rsid w:val="002D6A8F"/>
    <w:rsid w:val="002E3ABA"/>
    <w:rsid w:val="003872C2"/>
    <w:rsid w:val="00474444"/>
    <w:rsid w:val="004C33AE"/>
    <w:rsid w:val="00535B3D"/>
    <w:rsid w:val="005F47C6"/>
    <w:rsid w:val="00621935"/>
    <w:rsid w:val="00626391"/>
    <w:rsid w:val="006E515F"/>
    <w:rsid w:val="00710DAA"/>
    <w:rsid w:val="007B7EF5"/>
    <w:rsid w:val="007F39F7"/>
    <w:rsid w:val="00897887"/>
    <w:rsid w:val="008F0FAA"/>
    <w:rsid w:val="008F12FB"/>
    <w:rsid w:val="00923A50"/>
    <w:rsid w:val="00A44847"/>
    <w:rsid w:val="00B73B09"/>
    <w:rsid w:val="00BA434A"/>
    <w:rsid w:val="00BD2D2C"/>
    <w:rsid w:val="00C02811"/>
    <w:rsid w:val="00C27A62"/>
    <w:rsid w:val="00C37016"/>
    <w:rsid w:val="00C6750D"/>
    <w:rsid w:val="00C744A9"/>
    <w:rsid w:val="00C81627"/>
    <w:rsid w:val="00C96483"/>
    <w:rsid w:val="00D25F31"/>
    <w:rsid w:val="00D60D4D"/>
    <w:rsid w:val="00FB5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6B68"/>
  <w15:chartTrackingRefBased/>
  <w15:docId w15:val="{57CE0E5B-AB35-4688-A7D1-5D5308AF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8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4444"/>
    <w:pPr>
      <w:ind w:left="720"/>
      <w:contextualSpacing/>
    </w:pPr>
  </w:style>
  <w:style w:type="character" w:styleId="Lienhypertexte">
    <w:name w:val="Hyperlink"/>
    <w:basedOn w:val="Policepardfaut"/>
    <w:unhideWhenUsed/>
    <w:rsid w:val="00C744A9"/>
    <w:rPr>
      <w:color w:val="0563C1" w:themeColor="hyperlink"/>
      <w:u w:val="single"/>
    </w:rPr>
  </w:style>
  <w:style w:type="character" w:styleId="Mentionnonrsolue">
    <w:name w:val="Unresolved Mention"/>
    <w:basedOn w:val="Policepardfaut"/>
    <w:uiPriority w:val="99"/>
    <w:semiHidden/>
    <w:unhideWhenUsed/>
    <w:rsid w:val="00C7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197">
      <w:bodyDiv w:val="1"/>
      <w:marLeft w:val="0"/>
      <w:marRight w:val="0"/>
      <w:marTop w:val="0"/>
      <w:marBottom w:val="0"/>
      <w:divBdr>
        <w:top w:val="none" w:sz="0" w:space="0" w:color="auto"/>
        <w:left w:val="none" w:sz="0" w:space="0" w:color="auto"/>
        <w:bottom w:val="none" w:sz="0" w:space="0" w:color="auto"/>
        <w:right w:val="none" w:sz="0" w:space="0" w:color="auto"/>
      </w:divBdr>
    </w:div>
    <w:div w:id="1379665749">
      <w:bodyDiv w:val="1"/>
      <w:marLeft w:val="0"/>
      <w:marRight w:val="0"/>
      <w:marTop w:val="0"/>
      <w:marBottom w:val="0"/>
      <w:divBdr>
        <w:top w:val="none" w:sz="0" w:space="0" w:color="auto"/>
        <w:left w:val="none" w:sz="0" w:space="0" w:color="auto"/>
        <w:bottom w:val="none" w:sz="0" w:space="0" w:color="auto"/>
        <w:right w:val="none" w:sz="0" w:space="0" w:color="auto"/>
      </w:divBdr>
    </w:div>
    <w:div w:id="1668896092">
      <w:bodyDiv w:val="1"/>
      <w:marLeft w:val="0"/>
      <w:marRight w:val="0"/>
      <w:marTop w:val="0"/>
      <w:marBottom w:val="0"/>
      <w:divBdr>
        <w:top w:val="none" w:sz="0" w:space="0" w:color="auto"/>
        <w:left w:val="none" w:sz="0" w:space="0" w:color="auto"/>
        <w:bottom w:val="none" w:sz="0" w:space="0" w:color="auto"/>
        <w:right w:val="none" w:sz="0" w:space="0" w:color="auto"/>
      </w:divBdr>
    </w:div>
    <w:div w:id="20789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Keltoum Hanna</dc:creator>
  <cp:keywords/>
  <dc:description/>
  <cp:lastModifiedBy>Twin Capital Gestion</cp:lastModifiedBy>
  <cp:revision>5</cp:revision>
  <dcterms:created xsi:type="dcterms:W3CDTF">2025-02-11T10:19:00Z</dcterms:created>
  <dcterms:modified xsi:type="dcterms:W3CDTF">2025-02-13T09:38:00Z</dcterms:modified>
</cp:coreProperties>
</file>